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794" w:rsidRDefault="00F22794" w:rsidP="00F2279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B5281C8" wp14:editId="5749CCD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794" w:rsidRDefault="00F22794" w:rsidP="00F2279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22794" w:rsidRDefault="00F22794" w:rsidP="00F2279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22794" w:rsidRDefault="00F22794" w:rsidP="00F2279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22794" w:rsidRDefault="00F22794" w:rsidP="00F2279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22794" w:rsidRDefault="00F22794" w:rsidP="00F2279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22794" w:rsidRDefault="00F22794" w:rsidP="00F2279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5453A30" wp14:editId="0BD61F9A">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E12B29" w:rsidRPr="00F22794" w:rsidRDefault="00E12B29" w:rsidP="00F22794">
      <w:pPr>
        <w:shd w:val="clear" w:color="auto" w:fill="FFFFFF"/>
        <w:spacing w:after="0" w:line="240" w:lineRule="auto"/>
        <w:jc w:val="center"/>
        <w:rPr>
          <w:rFonts w:ascii="Times New Roman" w:eastAsia="Times New Roman" w:hAnsi="Times New Roman" w:cs="Times New Roman"/>
          <w:b/>
          <w:color w:val="050505"/>
          <w:sz w:val="28"/>
          <w:szCs w:val="28"/>
          <w:lang w:val="uk-UA" w:eastAsia="ru-RU"/>
        </w:rPr>
      </w:pPr>
      <w:r w:rsidRPr="00F22794">
        <w:rPr>
          <w:rFonts w:ascii="Times New Roman" w:eastAsia="Times New Roman" w:hAnsi="Times New Roman" w:cs="Times New Roman"/>
          <w:b/>
          <w:color w:val="050505"/>
          <w:sz w:val="28"/>
          <w:szCs w:val="28"/>
          <w:lang w:val="uk-UA" w:eastAsia="ru-RU"/>
        </w:rPr>
        <w:t>На користь яких осіб при наданні  безповоротної фінансової допомоги збільшується фінансовий результат до оподаткування з 01.01.2022 року</w:t>
      </w:r>
      <w:r w:rsidR="00F22794" w:rsidRPr="00F22794">
        <w:rPr>
          <w:rFonts w:ascii="Times New Roman" w:eastAsia="Times New Roman" w:hAnsi="Times New Roman" w:cs="Times New Roman"/>
          <w:b/>
          <w:color w:val="050505"/>
          <w:sz w:val="28"/>
          <w:szCs w:val="28"/>
          <w:lang w:val="uk-UA" w:eastAsia="ru-RU"/>
        </w:rPr>
        <w:t>?</w:t>
      </w:r>
    </w:p>
    <w:p w:rsidR="00E12B29" w:rsidRPr="003158EE" w:rsidRDefault="00E12B29" w:rsidP="00E12B29">
      <w:pPr>
        <w:shd w:val="clear" w:color="auto" w:fill="FFFFFF"/>
        <w:spacing w:after="0" w:line="240" w:lineRule="auto"/>
        <w:rPr>
          <w:rFonts w:ascii="Times New Roman" w:eastAsia="Times New Roman" w:hAnsi="Times New Roman" w:cs="Times New Roman"/>
          <w:color w:val="050505"/>
          <w:sz w:val="28"/>
          <w:szCs w:val="28"/>
          <w:lang w:val="uk-UA" w:eastAsia="ru-RU"/>
        </w:rPr>
      </w:pP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3158EE">
        <w:rPr>
          <w:rFonts w:ascii="Times New Roman" w:eastAsia="Times New Roman" w:hAnsi="Times New Roman" w:cs="Times New Roman"/>
          <w:color w:val="050505"/>
          <w:sz w:val="28"/>
          <w:szCs w:val="28"/>
          <w:lang w:val="uk-UA" w:eastAsia="ru-RU"/>
        </w:rPr>
        <w:t>В</w:t>
      </w:r>
      <w:r w:rsidRPr="00E12B29">
        <w:rPr>
          <w:rFonts w:ascii="Times New Roman" w:eastAsia="Times New Roman" w:hAnsi="Times New Roman" w:cs="Times New Roman"/>
          <w:color w:val="050505"/>
          <w:sz w:val="28"/>
          <w:szCs w:val="28"/>
          <w:lang w:val="uk-UA" w:eastAsia="ru-RU"/>
        </w:rPr>
        <w:t xml:space="preserve">ідповідно до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134.1.1 п. 134.1 ст. 134 Податкового кодексу України (далі – ПКУ) об’єктом оподаткування податком на прибуток є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визначені відповідними положеннями ПКУ.</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 xml:space="preserve">При цьому абзацом восьмим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xml:space="preserve">. 134.1.1 п. 134.1 ст. 134 ПКУ встановлено, що для платників податку, у яких річний дохід від будь-якої діяльності (за вирахуванням непрямих податків), визначений за правилами бухгалтерського обліку за останній річний звітний період не перевищує сорока мільйонів гривень, об’єкт оподаткування може визначатися без коригування фінансового результату до оподаткування на усі різниці (крім від’ємного значення об’єкта оподаткування минулих податкових (звітних) років та коригувань, визначених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xml:space="preserve">. 140.4.8 п. 140.4 та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xml:space="preserve">. 140.5.16 п. 140.5 ст. 140 ПКУ), визначені відповідно до положень </w:t>
      </w:r>
      <w:proofErr w:type="spellStart"/>
      <w:r w:rsidRPr="00E12B29">
        <w:rPr>
          <w:rFonts w:ascii="Times New Roman" w:eastAsia="Times New Roman" w:hAnsi="Times New Roman" w:cs="Times New Roman"/>
          <w:color w:val="050505"/>
          <w:sz w:val="28"/>
          <w:szCs w:val="28"/>
          <w:lang w:val="uk-UA" w:eastAsia="ru-RU"/>
        </w:rPr>
        <w:t>розд</w:t>
      </w:r>
      <w:proofErr w:type="spellEnd"/>
      <w:r w:rsidRPr="00E12B29">
        <w:rPr>
          <w:rFonts w:ascii="Times New Roman" w:eastAsia="Times New Roman" w:hAnsi="Times New Roman" w:cs="Times New Roman"/>
          <w:color w:val="050505"/>
          <w:sz w:val="28"/>
          <w:szCs w:val="28"/>
          <w:lang w:val="uk-UA" w:eastAsia="ru-RU"/>
        </w:rPr>
        <w:t>. ІІІ ПКУ.</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 xml:space="preserve">Законом України від 30 листопада 2021 року № 1914-ІХ «Про внесення змін до Податкового кодексу України та деяких законодавчих актів України щодо забезпечення збалансованості бюджетних надходжень» (далі – Закон № 1914) </w:t>
      </w:r>
      <w:proofErr w:type="spellStart"/>
      <w:r w:rsidRPr="00E12B29">
        <w:rPr>
          <w:rFonts w:ascii="Times New Roman" w:eastAsia="Times New Roman" w:hAnsi="Times New Roman" w:cs="Times New Roman"/>
          <w:color w:val="050505"/>
          <w:sz w:val="28"/>
          <w:szCs w:val="28"/>
          <w:lang w:val="uk-UA" w:eastAsia="ru-RU"/>
        </w:rPr>
        <w:t>внесено</w:t>
      </w:r>
      <w:proofErr w:type="spellEnd"/>
      <w:r w:rsidRPr="00E12B29">
        <w:rPr>
          <w:rFonts w:ascii="Times New Roman" w:eastAsia="Times New Roman" w:hAnsi="Times New Roman" w:cs="Times New Roman"/>
          <w:color w:val="050505"/>
          <w:sz w:val="28"/>
          <w:szCs w:val="28"/>
          <w:lang w:val="uk-UA" w:eastAsia="ru-RU"/>
        </w:rPr>
        <w:t xml:space="preserve"> зміни, зокрема, до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140.5.10 п. 140.5 ст. 140 ПКУ, які набрали чинності з 01 січня 2022 року.</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 xml:space="preserve">Згідно з абзацом першим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xml:space="preserve">. 140.5.10 п. 140.5 ст. 140 ПКУ у редакції, що діє з 01.01.2022, фінансовий результат податкового (звітного) періоду збільшується на суму перерахованої безповоротної фінансової допомоги (безоплатно наданих товарів, робіт, послуг) особам, що не є платниками податку (крім фізичних осіб, які є платниками податку на доходи фізичних осіб), платникам податку, які є пов’язаними особами (у разі якщо отримувачем фінансової допомоги (безоплатно наданих товарів, робіт, послуг) задекларовано від’ємне значення об’єкта оподаткування за податковий (звітний) рік, що передує року, в якому отримано таку безповоротну фінансову допомогу (безоплатно надані товари, роботи, послуги), за умови що така допомога була врахована у складі витрат при визначенні фінансового результату до оподаткування), та платникам податку, які оподатковуються за ставкою 0 </w:t>
      </w:r>
      <w:proofErr w:type="spellStart"/>
      <w:r w:rsidRPr="00E12B29">
        <w:rPr>
          <w:rFonts w:ascii="Times New Roman" w:eastAsia="Times New Roman" w:hAnsi="Times New Roman" w:cs="Times New Roman"/>
          <w:color w:val="050505"/>
          <w:sz w:val="28"/>
          <w:szCs w:val="28"/>
          <w:lang w:val="uk-UA" w:eastAsia="ru-RU"/>
        </w:rPr>
        <w:t>відс</w:t>
      </w:r>
      <w:proofErr w:type="spellEnd"/>
      <w:r w:rsidRPr="00E12B29">
        <w:rPr>
          <w:rFonts w:ascii="Times New Roman" w:eastAsia="Times New Roman" w:hAnsi="Times New Roman" w:cs="Times New Roman"/>
          <w:color w:val="050505"/>
          <w:sz w:val="28"/>
          <w:szCs w:val="28"/>
          <w:lang w:val="uk-UA" w:eastAsia="ru-RU"/>
        </w:rPr>
        <w:t xml:space="preserve">. відповідно до п. 44 </w:t>
      </w:r>
      <w:proofErr w:type="spellStart"/>
      <w:r w:rsidRPr="00E12B29">
        <w:rPr>
          <w:rFonts w:ascii="Times New Roman" w:eastAsia="Times New Roman" w:hAnsi="Times New Roman" w:cs="Times New Roman"/>
          <w:color w:val="050505"/>
          <w:sz w:val="28"/>
          <w:szCs w:val="28"/>
          <w:lang w:val="uk-UA" w:eastAsia="ru-RU"/>
        </w:rPr>
        <w:t>підрозд</w:t>
      </w:r>
      <w:proofErr w:type="spellEnd"/>
      <w:r w:rsidRPr="00E12B29">
        <w:rPr>
          <w:rFonts w:ascii="Times New Roman" w:eastAsia="Times New Roman" w:hAnsi="Times New Roman" w:cs="Times New Roman"/>
          <w:color w:val="050505"/>
          <w:sz w:val="28"/>
          <w:szCs w:val="28"/>
          <w:lang w:val="uk-UA" w:eastAsia="ru-RU"/>
        </w:rPr>
        <w:t xml:space="preserve">. 4 </w:t>
      </w:r>
      <w:proofErr w:type="spellStart"/>
      <w:r w:rsidRPr="00E12B29">
        <w:rPr>
          <w:rFonts w:ascii="Times New Roman" w:eastAsia="Times New Roman" w:hAnsi="Times New Roman" w:cs="Times New Roman"/>
          <w:color w:val="050505"/>
          <w:sz w:val="28"/>
          <w:szCs w:val="28"/>
          <w:lang w:val="uk-UA" w:eastAsia="ru-RU"/>
        </w:rPr>
        <w:t>розд</w:t>
      </w:r>
      <w:proofErr w:type="spellEnd"/>
      <w:r w:rsidRPr="00E12B29">
        <w:rPr>
          <w:rFonts w:ascii="Times New Roman" w:eastAsia="Times New Roman" w:hAnsi="Times New Roman" w:cs="Times New Roman"/>
          <w:color w:val="050505"/>
          <w:sz w:val="28"/>
          <w:szCs w:val="28"/>
          <w:lang w:val="uk-UA" w:eastAsia="ru-RU"/>
        </w:rPr>
        <w:t xml:space="preserve">. XX «Перехідні положення» ПКУ, крім безповоротної фінансової допомоги (безоплатно наданих товарів, робіт, </w:t>
      </w:r>
      <w:r w:rsidRPr="00E12B29">
        <w:rPr>
          <w:rFonts w:ascii="Times New Roman" w:eastAsia="Times New Roman" w:hAnsi="Times New Roman" w:cs="Times New Roman"/>
          <w:color w:val="050505"/>
          <w:sz w:val="28"/>
          <w:szCs w:val="28"/>
          <w:lang w:val="uk-UA" w:eastAsia="ru-RU"/>
        </w:rPr>
        <w:lastRenderedPageBreak/>
        <w:t xml:space="preserve">послуг), перерахованої неприбутковим організаціям, внесеним до Реєстру неприбуткових установ та організацій на дату такого перерахування коштів, передачі товарів, робіт, послуг, з яких застосовується положення </w:t>
      </w:r>
      <w:proofErr w:type="spellStart"/>
      <w:r w:rsidRPr="00E12B29">
        <w:rPr>
          <w:rFonts w:ascii="Times New Roman" w:eastAsia="Times New Roman" w:hAnsi="Times New Roman" w:cs="Times New Roman"/>
          <w:color w:val="050505"/>
          <w:sz w:val="28"/>
          <w:szCs w:val="28"/>
          <w:lang w:val="uk-UA" w:eastAsia="ru-RU"/>
        </w:rPr>
        <w:t>пп</w:t>
      </w:r>
      <w:proofErr w:type="spellEnd"/>
      <w:r w:rsidRPr="00E12B29">
        <w:rPr>
          <w:rFonts w:ascii="Times New Roman" w:eastAsia="Times New Roman" w:hAnsi="Times New Roman" w:cs="Times New Roman"/>
          <w:color w:val="050505"/>
          <w:sz w:val="28"/>
          <w:szCs w:val="28"/>
          <w:lang w:val="uk-UA" w:eastAsia="ru-RU"/>
        </w:rPr>
        <w:t>. 140.5.9 п. 140.5 ст. 140 ПКУ.</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 xml:space="preserve">Слід зазначити, що для платників податку, які оподатковувались за ставкою 0 </w:t>
      </w:r>
      <w:proofErr w:type="spellStart"/>
      <w:r w:rsidRPr="00E12B29">
        <w:rPr>
          <w:rFonts w:ascii="Times New Roman" w:eastAsia="Times New Roman" w:hAnsi="Times New Roman" w:cs="Times New Roman"/>
          <w:color w:val="050505"/>
          <w:sz w:val="28"/>
          <w:szCs w:val="28"/>
          <w:lang w:val="uk-UA" w:eastAsia="ru-RU"/>
        </w:rPr>
        <w:t>відс</w:t>
      </w:r>
      <w:proofErr w:type="spellEnd"/>
      <w:r w:rsidRPr="00E12B29">
        <w:rPr>
          <w:rFonts w:ascii="Times New Roman" w:eastAsia="Times New Roman" w:hAnsi="Times New Roman" w:cs="Times New Roman"/>
          <w:color w:val="050505"/>
          <w:sz w:val="28"/>
          <w:szCs w:val="28"/>
          <w:lang w:val="uk-UA" w:eastAsia="ru-RU"/>
        </w:rPr>
        <w:t xml:space="preserve">. відповідно до п. 44 </w:t>
      </w:r>
      <w:proofErr w:type="spellStart"/>
      <w:r w:rsidRPr="00E12B29">
        <w:rPr>
          <w:rFonts w:ascii="Times New Roman" w:eastAsia="Times New Roman" w:hAnsi="Times New Roman" w:cs="Times New Roman"/>
          <w:color w:val="050505"/>
          <w:sz w:val="28"/>
          <w:szCs w:val="28"/>
          <w:lang w:val="uk-UA" w:eastAsia="ru-RU"/>
        </w:rPr>
        <w:t>підрозд</w:t>
      </w:r>
      <w:proofErr w:type="spellEnd"/>
      <w:r w:rsidRPr="00E12B29">
        <w:rPr>
          <w:rFonts w:ascii="Times New Roman" w:eastAsia="Times New Roman" w:hAnsi="Times New Roman" w:cs="Times New Roman"/>
          <w:color w:val="050505"/>
          <w:sz w:val="28"/>
          <w:szCs w:val="28"/>
          <w:lang w:val="uk-UA" w:eastAsia="ru-RU"/>
        </w:rPr>
        <w:t xml:space="preserve">. 4 </w:t>
      </w:r>
      <w:proofErr w:type="spellStart"/>
      <w:r w:rsidRPr="00E12B29">
        <w:rPr>
          <w:rFonts w:ascii="Times New Roman" w:eastAsia="Times New Roman" w:hAnsi="Times New Roman" w:cs="Times New Roman"/>
          <w:color w:val="050505"/>
          <w:sz w:val="28"/>
          <w:szCs w:val="28"/>
          <w:lang w:val="uk-UA" w:eastAsia="ru-RU"/>
        </w:rPr>
        <w:t>розд</w:t>
      </w:r>
      <w:proofErr w:type="spellEnd"/>
      <w:r w:rsidRPr="00E12B29">
        <w:rPr>
          <w:rFonts w:ascii="Times New Roman" w:eastAsia="Times New Roman" w:hAnsi="Times New Roman" w:cs="Times New Roman"/>
          <w:color w:val="050505"/>
          <w:sz w:val="28"/>
          <w:szCs w:val="28"/>
          <w:lang w:val="uk-UA" w:eastAsia="ru-RU"/>
        </w:rPr>
        <w:t xml:space="preserve">. XX «Перехідні положення» ПКУ, передбачено використання відповідної податкової пільги на період до 31 грудня 2021 року (п. 44 </w:t>
      </w:r>
      <w:proofErr w:type="spellStart"/>
      <w:r w:rsidRPr="00E12B29">
        <w:rPr>
          <w:rFonts w:ascii="Times New Roman" w:eastAsia="Times New Roman" w:hAnsi="Times New Roman" w:cs="Times New Roman"/>
          <w:color w:val="050505"/>
          <w:sz w:val="28"/>
          <w:szCs w:val="28"/>
          <w:lang w:val="uk-UA" w:eastAsia="ru-RU"/>
        </w:rPr>
        <w:t>підрозд</w:t>
      </w:r>
      <w:proofErr w:type="spellEnd"/>
      <w:r w:rsidRPr="00E12B29">
        <w:rPr>
          <w:rFonts w:ascii="Times New Roman" w:eastAsia="Times New Roman" w:hAnsi="Times New Roman" w:cs="Times New Roman"/>
          <w:color w:val="050505"/>
          <w:sz w:val="28"/>
          <w:szCs w:val="28"/>
          <w:lang w:val="uk-UA" w:eastAsia="ru-RU"/>
        </w:rPr>
        <w:t xml:space="preserve">. 4 </w:t>
      </w:r>
      <w:proofErr w:type="spellStart"/>
      <w:r w:rsidRPr="00E12B29">
        <w:rPr>
          <w:rFonts w:ascii="Times New Roman" w:eastAsia="Times New Roman" w:hAnsi="Times New Roman" w:cs="Times New Roman"/>
          <w:color w:val="050505"/>
          <w:sz w:val="28"/>
          <w:szCs w:val="28"/>
          <w:lang w:val="uk-UA" w:eastAsia="ru-RU"/>
        </w:rPr>
        <w:t>розд</w:t>
      </w:r>
      <w:proofErr w:type="spellEnd"/>
      <w:r w:rsidRPr="00E12B29">
        <w:rPr>
          <w:rFonts w:ascii="Times New Roman" w:eastAsia="Times New Roman" w:hAnsi="Times New Roman" w:cs="Times New Roman"/>
          <w:color w:val="050505"/>
          <w:sz w:val="28"/>
          <w:szCs w:val="28"/>
          <w:lang w:val="uk-UA" w:eastAsia="ru-RU"/>
        </w:rPr>
        <w:t>. XX «Перехідні положення» ПКУ).</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Отже, платник податку повинен збільшити фінансовий результат податкового (звітного) періоду при наданні безповоротної фінансової допомоги (безоплатних товарів, робіт, послуг) на користь:</w:t>
      </w:r>
    </w:p>
    <w:p w:rsidR="00E12B29" w:rsidRPr="00E12B29" w:rsidRDefault="00E12B29" w:rsidP="00F22794">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E12B29">
        <w:rPr>
          <w:rFonts w:ascii="Times New Roman" w:eastAsia="Times New Roman" w:hAnsi="Times New Roman" w:cs="Times New Roman"/>
          <w:color w:val="050505"/>
          <w:sz w:val="28"/>
          <w:szCs w:val="28"/>
          <w:lang w:val="uk-UA" w:eastAsia="ru-RU"/>
        </w:rPr>
        <w:t>- осіб, що не є платниками податку (крім фізичних осіб, які є платниками податку на доходи фізичних осіб); платників податку на прибуток підприємств, які є пов’язаними особами (тобто згідно з визначеними ПКУ критеріями «пов’язаності» вважаються пов’язаними особами із платником податку, який надає допомогу) у разі якщо: пов’язана особа задекларувала від’ємне значення об’єкта оподаткування за податковий (звітний) рік, що передує року, в якому отримано таку безповоротну фінансову допомогу (безоплатно надані товари, роботи, послуги);</w:t>
      </w:r>
    </w:p>
    <w:p w:rsidR="004A64BE" w:rsidRDefault="00E12B29" w:rsidP="00F22794">
      <w:pPr>
        <w:shd w:val="clear" w:color="auto" w:fill="FFFFFF"/>
        <w:spacing w:after="0" w:line="240" w:lineRule="auto"/>
        <w:ind w:firstLine="567"/>
        <w:jc w:val="both"/>
        <w:rPr>
          <w:rFonts w:ascii="Times New Roman" w:hAnsi="Times New Roman" w:cs="Times New Roman"/>
          <w:sz w:val="28"/>
          <w:szCs w:val="28"/>
          <w:lang w:val="uk-UA"/>
        </w:rPr>
      </w:pPr>
      <w:r w:rsidRPr="00E12B29">
        <w:rPr>
          <w:rFonts w:ascii="Times New Roman" w:eastAsia="Times New Roman" w:hAnsi="Times New Roman" w:cs="Times New Roman"/>
          <w:color w:val="050505"/>
          <w:sz w:val="28"/>
          <w:szCs w:val="28"/>
          <w:lang w:val="uk-UA" w:eastAsia="ru-RU"/>
        </w:rPr>
        <w:t>- надавач визнав в бухгалтерському обліку витрати на суму наданої фінансової допомоги (безоплатно наданих товарів, робіт, послуг) у відповідному періоді (тобто виходячи з умов відповідної угоди надавач не очікує повернення коштів чи одержання компенсації за надані товари, роботи, послуги у майбутньому).</w:t>
      </w:r>
    </w:p>
    <w:p w:rsidR="00F22794" w:rsidRPr="00F22794" w:rsidRDefault="00F22794" w:rsidP="00F22794">
      <w:pPr>
        <w:ind w:firstLine="567"/>
        <w:rPr>
          <w:rFonts w:ascii="Times New Roman" w:hAnsi="Times New Roman" w:cs="Times New Roman"/>
          <w:sz w:val="28"/>
          <w:szCs w:val="28"/>
        </w:rPr>
      </w:pPr>
      <w:r w:rsidRPr="00F22794">
        <w:rPr>
          <w:rFonts w:ascii="Times New Roman" w:hAnsi="Times New Roman" w:cs="Times New Roman"/>
          <w:sz w:val="28"/>
          <w:szCs w:val="28"/>
          <w:shd w:val="clear" w:color="auto" w:fill="FFFFFF"/>
        </w:rPr>
        <w:t xml:space="preserve">За </w:t>
      </w:r>
      <w:proofErr w:type="spellStart"/>
      <w:r w:rsidRPr="00F22794">
        <w:rPr>
          <w:rFonts w:ascii="Times New Roman" w:hAnsi="Times New Roman" w:cs="Times New Roman"/>
          <w:sz w:val="28"/>
          <w:szCs w:val="28"/>
          <w:shd w:val="clear" w:color="auto" w:fill="FFFFFF"/>
        </w:rPr>
        <w:t>інформацією</w:t>
      </w:r>
      <w:proofErr w:type="spellEnd"/>
      <w:r w:rsidRPr="00F22794">
        <w:rPr>
          <w:rFonts w:ascii="Times New Roman" w:hAnsi="Times New Roman" w:cs="Times New Roman"/>
          <w:sz w:val="28"/>
          <w:szCs w:val="28"/>
          <w:shd w:val="clear" w:color="auto" w:fill="FFFFFF"/>
        </w:rPr>
        <w:t xml:space="preserve"> </w:t>
      </w:r>
      <w:proofErr w:type="spellStart"/>
      <w:r w:rsidRPr="00F22794">
        <w:rPr>
          <w:rFonts w:ascii="Times New Roman" w:hAnsi="Times New Roman" w:cs="Times New Roman"/>
          <w:sz w:val="28"/>
          <w:szCs w:val="28"/>
          <w:shd w:val="clear" w:color="auto" w:fill="FFFFFF"/>
        </w:rPr>
        <w:t>загальнодоступного</w:t>
      </w:r>
      <w:proofErr w:type="spellEnd"/>
      <w:r w:rsidRPr="00F22794">
        <w:rPr>
          <w:rFonts w:ascii="Times New Roman" w:hAnsi="Times New Roman" w:cs="Times New Roman"/>
          <w:sz w:val="28"/>
          <w:szCs w:val="28"/>
          <w:shd w:val="clear" w:color="auto" w:fill="FFFFFF"/>
        </w:rPr>
        <w:t xml:space="preserve"> </w:t>
      </w:r>
      <w:proofErr w:type="spellStart"/>
      <w:r w:rsidRPr="00F22794">
        <w:rPr>
          <w:rFonts w:ascii="Times New Roman" w:hAnsi="Times New Roman" w:cs="Times New Roman"/>
          <w:sz w:val="28"/>
          <w:szCs w:val="28"/>
          <w:shd w:val="clear" w:color="auto" w:fill="FFFFFF"/>
        </w:rPr>
        <w:t>інформаційно-довідкового</w:t>
      </w:r>
      <w:proofErr w:type="spellEnd"/>
      <w:r w:rsidRPr="00F22794">
        <w:rPr>
          <w:rFonts w:ascii="Times New Roman" w:hAnsi="Times New Roman" w:cs="Times New Roman"/>
          <w:sz w:val="28"/>
          <w:szCs w:val="28"/>
          <w:shd w:val="clear" w:color="auto" w:fill="FFFFFF"/>
        </w:rPr>
        <w:t xml:space="preserve"> ресурсу.</w:t>
      </w:r>
    </w:p>
    <w:p w:rsidR="00F22794" w:rsidRPr="00F32254" w:rsidRDefault="00F22794" w:rsidP="00F22794">
      <w:pPr>
        <w:rPr>
          <w:rStyle w:val="z-label"/>
          <w:rFonts w:ascii="Times New Roman" w:hAnsi="Times New Roman" w:cs="Times New Roman"/>
          <w:sz w:val="28"/>
          <w:szCs w:val="28"/>
        </w:rPr>
      </w:pPr>
    </w:p>
    <w:p w:rsidR="00F22794" w:rsidRDefault="00F22794"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Default="004134C5" w:rsidP="00F22794">
      <w:pPr>
        <w:spacing w:after="0" w:line="240" w:lineRule="auto"/>
        <w:rPr>
          <w:rFonts w:ascii="Times New Roman" w:hAnsi="Times New Roman" w:cs="Times New Roman"/>
          <w:sz w:val="28"/>
          <w:szCs w:val="28"/>
          <w:lang w:val="en-US"/>
        </w:rPr>
      </w:pPr>
    </w:p>
    <w:p w:rsidR="004134C5" w:rsidRPr="004134C5" w:rsidRDefault="004134C5" w:rsidP="00F22794">
      <w:pPr>
        <w:spacing w:after="0" w:line="240" w:lineRule="auto"/>
        <w:rPr>
          <w:rFonts w:ascii="Times New Roman" w:hAnsi="Times New Roman" w:cs="Times New Roman"/>
          <w:sz w:val="28"/>
          <w:szCs w:val="28"/>
          <w:lang w:val="en-US"/>
        </w:rPr>
      </w:pPr>
      <w:bookmarkStart w:id="1" w:name="_GoBack"/>
      <w:bookmarkEnd w:id="1"/>
    </w:p>
    <w:p w:rsidR="00F22794" w:rsidRDefault="00F22794" w:rsidP="00F22794">
      <w:pPr>
        <w:spacing w:after="0" w:line="240" w:lineRule="auto"/>
        <w:rPr>
          <w:rFonts w:ascii="Times New Roman" w:hAnsi="Times New Roman" w:cs="Times New Roman"/>
          <w:sz w:val="28"/>
          <w:szCs w:val="28"/>
          <w:lang w:val="uk-UA"/>
        </w:rPr>
      </w:pPr>
    </w:p>
    <w:p w:rsidR="00F22794" w:rsidRPr="00F22794" w:rsidRDefault="00F22794" w:rsidP="00F22794">
      <w:pPr>
        <w:spacing w:after="0" w:line="240" w:lineRule="auto"/>
        <w:rPr>
          <w:rFonts w:ascii="Times New Roman" w:hAnsi="Times New Roman" w:cs="Times New Roman"/>
          <w:sz w:val="28"/>
          <w:szCs w:val="28"/>
          <w:lang w:val="uk-UA"/>
        </w:rPr>
      </w:pPr>
    </w:p>
    <w:p w:rsidR="00F22794" w:rsidRPr="004134C5" w:rsidRDefault="00F22794" w:rsidP="00F22794">
      <w:pPr>
        <w:spacing w:after="0" w:line="240" w:lineRule="auto"/>
        <w:jc w:val="both"/>
        <w:rPr>
          <w:rFonts w:ascii="Times New Roman" w:hAnsi="Times New Roman" w:cs="Times New Roman"/>
          <w:sz w:val="20"/>
          <w:szCs w:val="20"/>
          <w:lang w:val="uk-UA"/>
        </w:rPr>
      </w:pPr>
      <w:r w:rsidRPr="004134C5">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4134C5">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4134C5">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4134C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4134C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4134C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4134C5">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F22794" w:rsidRPr="00EA716F" w:rsidRDefault="00F22794" w:rsidP="00F2279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F22794" w:rsidRPr="00F22794" w:rsidRDefault="00F22794">
      <w:pPr>
        <w:rPr>
          <w:rFonts w:ascii="Times New Roman" w:hAnsi="Times New Roman" w:cs="Times New Roman"/>
          <w:sz w:val="28"/>
          <w:szCs w:val="28"/>
        </w:rPr>
      </w:pPr>
    </w:p>
    <w:sectPr w:rsidR="00F22794" w:rsidRPr="00F2279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B29"/>
    <w:rsid w:val="003158EE"/>
    <w:rsid w:val="004134C5"/>
    <w:rsid w:val="004A64BE"/>
    <w:rsid w:val="00751448"/>
    <w:rsid w:val="00E12B29"/>
    <w:rsid w:val="00F22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279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2794"/>
    <w:rPr>
      <w:rFonts w:ascii="Tahoma" w:hAnsi="Tahoma" w:cs="Tahoma"/>
      <w:sz w:val="16"/>
      <w:szCs w:val="16"/>
    </w:rPr>
  </w:style>
  <w:style w:type="character" w:customStyle="1" w:styleId="z-label">
    <w:name w:val="z-label"/>
    <w:basedOn w:val="a0"/>
    <w:rsid w:val="00F22794"/>
  </w:style>
  <w:style w:type="character" w:styleId="a5">
    <w:name w:val="Hyperlink"/>
    <w:uiPriority w:val="99"/>
    <w:rsid w:val="00F227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279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2794"/>
    <w:rPr>
      <w:rFonts w:ascii="Tahoma" w:hAnsi="Tahoma" w:cs="Tahoma"/>
      <w:sz w:val="16"/>
      <w:szCs w:val="16"/>
    </w:rPr>
  </w:style>
  <w:style w:type="character" w:customStyle="1" w:styleId="z-label">
    <w:name w:val="z-label"/>
    <w:basedOn w:val="a0"/>
    <w:rsid w:val="00F22794"/>
  </w:style>
  <w:style w:type="character" w:styleId="a5">
    <w:name w:val="Hyperlink"/>
    <w:uiPriority w:val="99"/>
    <w:rsid w:val="00F227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089485">
      <w:bodyDiv w:val="1"/>
      <w:marLeft w:val="0"/>
      <w:marRight w:val="0"/>
      <w:marTop w:val="0"/>
      <w:marBottom w:val="0"/>
      <w:divBdr>
        <w:top w:val="none" w:sz="0" w:space="0" w:color="auto"/>
        <w:left w:val="none" w:sz="0" w:space="0" w:color="auto"/>
        <w:bottom w:val="none" w:sz="0" w:space="0" w:color="auto"/>
        <w:right w:val="none" w:sz="0" w:space="0" w:color="auto"/>
      </w:divBdr>
      <w:divsChild>
        <w:div w:id="8801907">
          <w:marLeft w:val="0"/>
          <w:marRight w:val="0"/>
          <w:marTop w:val="0"/>
          <w:marBottom w:val="0"/>
          <w:divBdr>
            <w:top w:val="none" w:sz="0" w:space="0" w:color="auto"/>
            <w:left w:val="none" w:sz="0" w:space="0" w:color="auto"/>
            <w:bottom w:val="none" w:sz="0" w:space="0" w:color="auto"/>
            <w:right w:val="none" w:sz="0" w:space="0" w:color="auto"/>
          </w:divBdr>
        </w:div>
        <w:div w:id="1565602401">
          <w:marLeft w:val="0"/>
          <w:marRight w:val="0"/>
          <w:marTop w:val="120"/>
          <w:marBottom w:val="0"/>
          <w:divBdr>
            <w:top w:val="none" w:sz="0" w:space="0" w:color="auto"/>
            <w:left w:val="none" w:sz="0" w:space="0" w:color="auto"/>
            <w:bottom w:val="none" w:sz="0" w:space="0" w:color="auto"/>
            <w:right w:val="none" w:sz="0" w:space="0" w:color="auto"/>
          </w:divBdr>
          <w:divsChild>
            <w:div w:id="529493222">
              <w:marLeft w:val="0"/>
              <w:marRight w:val="0"/>
              <w:marTop w:val="0"/>
              <w:marBottom w:val="0"/>
              <w:divBdr>
                <w:top w:val="none" w:sz="0" w:space="0" w:color="auto"/>
                <w:left w:val="none" w:sz="0" w:space="0" w:color="auto"/>
                <w:bottom w:val="none" w:sz="0" w:space="0" w:color="auto"/>
                <w:right w:val="none" w:sz="0" w:space="0" w:color="auto"/>
              </w:divBdr>
            </w:div>
          </w:divsChild>
        </w:div>
        <w:div w:id="1965186806">
          <w:marLeft w:val="0"/>
          <w:marRight w:val="0"/>
          <w:marTop w:val="120"/>
          <w:marBottom w:val="0"/>
          <w:divBdr>
            <w:top w:val="none" w:sz="0" w:space="0" w:color="auto"/>
            <w:left w:val="none" w:sz="0" w:space="0" w:color="auto"/>
            <w:bottom w:val="none" w:sz="0" w:space="0" w:color="auto"/>
            <w:right w:val="none" w:sz="0" w:space="0" w:color="auto"/>
          </w:divBdr>
          <w:divsChild>
            <w:div w:id="1126705765">
              <w:marLeft w:val="0"/>
              <w:marRight w:val="0"/>
              <w:marTop w:val="0"/>
              <w:marBottom w:val="0"/>
              <w:divBdr>
                <w:top w:val="none" w:sz="0" w:space="0" w:color="auto"/>
                <w:left w:val="none" w:sz="0" w:space="0" w:color="auto"/>
                <w:bottom w:val="none" w:sz="0" w:space="0" w:color="auto"/>
                <w:right w:val="none" w:sz="0" w:space="0" w:color="auto"/>
              </w:divBdr>
            </w:div>
          </w:divsChild>
        </w:div>
        <w:div w:id="1190724369">
          <w:marLeft w:val="0"/>
          <w:marRight w:val="0"/>
          <w:marTop w:val="120"/>
          <w:marBottom w:val="0"/>
          <w:divBdr>
            <w:top w:val="none" w:sz="0" w:space="0" w:color="auto"/>
            <w:left w:val="none" w:sz="0" w:space="0" w:color="auto"/>
            <w:bottom w:val="none" w:sz="0" w:space="0" w:color="auto"/>
            <w:right w:val="none" w:sz="0" w:space="0" w:color="auto"/>
          </w:divBdr>
          <w:divsChild>
            <w:div w:id="430781492">
              <w:marLeft w:val="0"/>
              <w:marRight w:val="0"/>
              <w:marTop w:val="0"/>
              <w:marBottom w:val="0"/>
              <w:divBdr>
                <w:top w:val="none" w:sz="0" w:space="0" w:color="auto"/>
                <w:left w:val="none" w:sz="0" w:space="0" w:color="auto"/>
                <w:bottom w:val="none" w:sz="0" w:space="0" w:color="auto"/>
                <w:right w:val="none" w:sz="0" w:space="0" w:color="auto"/>
              </w:divBdr>
            </w:div>
          </w:divsChild>
        </w:div>
        <w:div w:id="1256326531">
          <w:marLeft w:val="0"/>
          <w:marRight w:val="0"/>
          <w:marTop w:val="120"/>
          <w:marBottom w:val="0"/>
          <w:divBdr>
            <w:top w:val="none" w:sz="0" w:space="0" w:color="auto"/>
            <w:left w:val="none" w:sz="0" w:space="0" w:color="auto"/>
            <w:bottom w:val="none" w:sz="0" w:space="0" w:color="auto"/>
            <w:right w:val="none" w:sz="0" w:space="0" w:color="auto"/>
          </w:divBdr>
          <w:divsChild>
            <w:div w:id="561059627">
              <w:marLeft w:val="0"/>
              <w:marRight w:val="0"/>
              <w:marTop w:val="0"/>
              <w:marBottom w:val="0"/>
              <w:divBdr>
                <w:top w:val="none" w:sz="0" w:space="0" w:color="auto"/>
                <w:left w:val="none" w:sz="0" w:space="0" w:color="auto"/>
                <w:bottom w:val="none" w:sz="0" w:space="0" w:color="auto"/>
                <w:right w:val="none" w:sz="0" w:space="0" w:color="auto"/>
              </w:divBdr>
            </w:div>
          </w:divsChild>
        </w:div>
        <w:div w:id="233710707">
          <w:marLeft w:val="0"/>
          <w:marRight w:val="0"/>
          <w:marTop w:val="120"/>
          <w:marBottom w:val="0"/>
          <w:divBdr>
            <w:top w:val="none" w:sz="0" w:space="0" w:color="auto"/>
            <w:left w:val="none" w:sz="0" w:space="0" w:color="auto"/>
            <w:bottom w:val="none" w:sz="0" w:space="0" w:color="auto"/>
            <w:right w:val="none" w:sz="0" w:space="0" w:color="auto"/>
          </w:divBdr>
          <w:divsChild>
            <w:div w:id="1840580565">
              <w:marLeft w:val="0"/>
              <w:marRight w:val="0"/>
              <w:marTop w:val="0"/>
              <w:marBottom w:val="0"/>
              <w:divBdr>
                <w:top w:val="none" w:sz="0" w:space="0" w:color="auto"/>
                <w:left w:val="none" w:sz="0" w:space="0" w:color="auto"/>
                <w:bottom w:val="none" w:sz="0" w:space="0" w:color="auto"/>
                <w:right w:val="none" w:sz="0" w:space="0" w:color="auto"/>
              </w:divBdr>
            </w:div>
          </w:divsChild>
        </w:div>
        <w:div w:id="1315066013">
          <w:marLeft w:val="0"/>
          <w:marRight w:val="0"/>
          <w:marTop w:val="120"/>
          <w:marBottom w:val="0"/>
          <w:divBdr>
            <w:top w:val="none" w:sz="0" w:space="0" w:color="auto"/>
            <w:left w:val="none" w:sz="0" w:space="0" w:color="auto"/>
            <w:bottom w:val="none" w:sz="0" w:space="0" w:color="auto"/>
            <w:right w:val="none" w:sz="0" w:space="0" w:color="auto"/>
          </w:divBdr>
          <w:divsChild>
            <w:div w:id="1565603489">
              <w:marLeft w:val="0"/>
              <w:marRight w:val="0"/>
              <w:marTop w:val="0"/>
              <w:marBottom w:val="0"/>
              <w:divBdr>
                <w:top w:val="none" w:sz="0" w:space="0" w:color="auto"/>
                <w:left w:val="none" w:sz="0" w:space="0" w:color="auto"/>
                <w:bottom w:val="none" w:sz="0" w:space="0" w:color="auto"/>
                <w:right w:val="none" w:sz="0" w:space="0" w:color="auto"/>
              </w:divBdr>
            </w:div>
          </w:divsChild>
        </w:div>
        <w:div w:id="202210104">
          <w:marLeft w:val="0"/>
          <w:marRight w:val="0"/>
          <w:marTop w:val="120"/>
          <w:marBottom w:val="0"/>
          <w:divBdr>
            <w:top w:val="none" w:sz="0" w:space="0" w:color="auto"/>
            <w:left w:val="none" w:sz="0" w:space="0" w:color="auto"/>
            <w:bottom w:val="none" w:sz="0" w:space="0" w:color="auto"/>
            <w:right w:val="none" w:sz="0" w:space="0" w:color="auto"/>
          </w:divBdr>
          <w:divsChild>
            <w:div w:id="6135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2927</Words>
  <Characters>1669</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2022-10-04T08:57:00Z</dcterms:created>
  <dcterms:modified xsi:type="dcterms:W3CDTF">2022-10-06T06:26:00Z</dcterms:modified>
</cp:coreProperties>
</file>